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План по профилактике и противодействию коррупции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Государственного казённого учреждения Чукотского автономного округа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«Межрайонный центр занятости населения»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>на 2021-2024 годы (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 квартал 202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 года)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tbl>
      <w:tblPr>
        <w:tblStyle w:val="13"/>
        <w:tblW w:w="14987" w:type="dxa"/>
        <w:tblInd w:w="-176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-7" w:type="dxa"/>
          <w:bottom w:w="0" w:type="dxa"/>
          <w:right w:w="40" w:type="dxa"/>
        </w:tblCellMar>
      </w:tblPr>
      <w:tblGrid>
        <w:gridCol w:w="1602"/>
        <w:gridCol w:w="5845"/>
        <w:gridCol w:w="5670"/>
        <w:gridCol w:w="187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№п/п ГАКУ ЧАО «МЦЗН»/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№ п/п/ ДСП ЧАО/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Информация об исполнении мероприятия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Срок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реализации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Организационное и правовое обеспечение реализации антикоррупционных мер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6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1.1.1/1.2.1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Обеспечение принятия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плана противодействия коррупции на 2021-2024 годы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Приказом Государственного казённого учреждения Чукотского автономного округа «Межрайонный центр занятости населения» от 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03.2022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-ОД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утверждён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план по профилактике и противодействию коррупции на 2021-2024 г.г.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1.1.2/1.2.2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беспечение внесения необходимых изменений в план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Необходимость внесения изменений в План противодействия коррупции на 2021-2024 годы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отсутствовала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1.1.3/1.2.3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Обеспечение контроля за реализацией плана противодействия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Обеспечен контроль за реализацией плана противодействия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23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1.1.4/1.2.4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контроля за соблюдением законодательства Российской Федерации о противодействии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ЦЗН», а также за реализацией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мер по профилактике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в плановом порядке проводится контроль за соблюдением законодательства Российской Федерации о противодействии коррупции , а также за реализацией мер по профилактике коррупционных правонарушений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1.2/1.7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Департамент социальной политики Чукотского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Информация о ходе реализации Плана мероприятий по профилактике и противодействию коррупции ежеквартально до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-го числа месяца, следующего за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отчётным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, направляется в Департамент социальной политики Чукотского автономного округа.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871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2.1/2.1.4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Разработка методических рекомендаций, памяток,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азработка методических рекомендаций, памяток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 xml:space="preserve">2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не проводилась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694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2.2/2.4.4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Обеспечение реализации сотрудниками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обязанности уведомлять пред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ставителя на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обеспечена реализация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2.3/2.8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Проведение анализа, совершенных работниками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ЦЗН» коррупционных правонарушений, в том числе, указанных в актах прокурорского реагирования, поступивших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Актов прокурорского реагирования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не поступало 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2.4/2.9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17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Фактов совершения коррупционных правонарушений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выявлено не было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862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3. Противодействие коррупции в основных коррупционно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опасных сферах деятельности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89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3.1/4.2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Закупки товаров, работ, услуг для государственных нужд осуществляются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pStyle w:val="5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  <w:t>4. Межведомственное взаимодействие в сфере профилактики и противодействия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4.1/5.1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отчётном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запросов не поступало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pStyle w:val="5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  <w:t>5. Антикоррупционное просвещение, взаимодействие с населением и структурами гражданского общества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5.1/6.1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56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Антикоррупционное образование: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5.1.1/6.1.2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дополнительного профессионального образования сотрудников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ЦЗН», в обязанности которых входит участие в противодействии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 сотрудники Учреждения не проходили повышение квалификации по вопросам организации противодействия коррупции.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5.1.2/6.1.3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 проводилось информирование вновь принятых сотрудников,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5.1.3/6.1.4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по актуальным вопросам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2024 года было проведено заседание с сотрудниками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 тему: «Противодействие коррупции»,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 w:themeFill="background1"/>
              </w:rPr>
              <w:t xml:space="preserve">был проведён семинар с учащимися старших классов МБОУ СОШ № 1 г.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 w:themeFill="background1"/>
                <w:lang w:val="ru-RU"/>
              </w:rPr>
              <w:t>А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 w:themeFill="background1"/>
              </w:rPr>
              <w:t>надыря в ГКУ ЧАО «Межрайонный ЦЗН» на тему: «Что такое коррупция и как с ней бороться»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 w:themeFill="background1"/>
                <w:lang w:val="ru-RU"/>
              </w:rPr>
              <w:t xml:space="preserve">. 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5.1.4/6.1.5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актуализируется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информация на информационных стендах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учреждения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антикоррупционного содержания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5.2/6.2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Антикоррупционная пропаганда: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firstLine="28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5.2.1/6.2.1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69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Информирование граждан о проводимой деятельности Антикоррупционное образование: работе по противодействию коррупции, посредством публикации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соответствующей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-телекоммуникационной сети «Интернет» на официальном сайте учреждения.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размещается информация 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об антикоррупционной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ЧАО «Межрайонный ЦЗН»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5.2.2/6.2.2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размещения на информационных стендах (уголках)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 официальном сайте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shd w:val="clear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размещена информация о порядке предоставления населению округа государственных услуг в порядке, предусмотренном административными регламентами. Данная информация также размещена на информационных стендах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учреждения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5.2.3/6.2.3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-телекоммуникационной сети «Интернет» на официальном сайте учреждения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размещена информация антикоррупционного содержания. Данная информация также размещена на информационных стендах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учреждения.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5.2.4/6.2.4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отчётном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мероприятия, приуроченные к Международному дню борьбы с коррупцией не проводились.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firstLine="28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5.3/6.3.4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«прямых линий», встреч, личного приёма граждан по вопросам противодействия коррупции, с опубликованием анонсной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Организованы часы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приёма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граждан директором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два раза в неделю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: вт, чт с 09:00 часов до 12:00 часов.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данному вопросу граждане не обращались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5.4/6.3.5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Проведение опроса (анкетирования) граждан с целью оценки уровня коррупции в сфере деятельности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и эффективности принимаемых мер, с последующим опубликованием результатов опроса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Проведение опроса (анкетирования) граждан с целью оценки уровня коррупции в сфере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и эффективности принимаемых мер 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было проведено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 w:themeFill="background1"/>
                <w:lang w:val="ru-RU"/>
              </w:rPr>
              <w:t>анкетирования граждан в рамках проведения Федерального этапа всероссийской ярмарки трудоустройства, было проведено онлайн анкетирование участников ярмарки, в процессе анкетирования было собрано 29 анкет.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Количество собранных анкет от граждан составляет 54 штуки (за 1 квартал 25 и 29 за 2 квартал).</w:t>
            </w:r>
            <w:bookmarkStart w:id="0" w:name="_GoBack"/>
            <w:bookmarkEnd w:id="0"/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5.5/6.3.6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Размещение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 актуальной информации об антикоррупционной деятельности (с учётом рекомендаций Министерства труда и социальной защиты Российской Федерации, установленных приказом от 7 октября 2013 года № 530н)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размещается информация 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об антикоррупционной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ЧАО «Межрайонный ЦЗН»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5.6/6.4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Взаимодействие со средствами массовой информации по информированию населения и общественности округа о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 ЧАО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Информация о деятельности ГКУ ЧАО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размещена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</w:tbl>
    <w:p/>
    <w:sectPr>
      <w:headerReference r:id="rId4" w:type="default"/>
      <w:footerReference r:id="rId5" w:type="default"/>
      <w:pgSz w:w="16838" w:h="11906" w:orient="landscape"/>
      <w:pgMar w:top="934" w:right="851" w:bottom="850" w:left="851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  <w:rPr>
        <w:rFonts w:cs="Arial"/>
      </w:rPr>
    </w:pPr>
  </w:p>
  <w:p>
    <w:pPr>
      <w:pStyle w:val="22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0" w:type="auto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069"/>
      <w:gridCol w:w="5069"/>
    </w:tblGrid>
    <w:tr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069" w:type="dxa"/>
          <w:shd w:val="clear" w:color="auto" w:fill="auto"/>
        </w:tcPr>
        <w:p>
          <w:pPr>
            <w:pStyle w:val="18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>
          <w:pPr>
            <w:pStyle w:val="18"/>
            <w:jc w:val="center"/>
            <w:rPr>
              <w:rFonts w:cs="Arial"/>
              <w:szCs w:val="18"/>
            </w:rPr>
          </w:pPr>
        </w:p>
      </w:tc>
    </w:tr>
  </w:tbl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54672"/>
    <w:multiLevelType w:val="multilevel"/>
    <w:tmpl w:val="1E654672"/>
    <w:lvl w:ilvl="0" w:tentative="0">
      <w:start w:val="1"/>
      <w:numFmt w:val="decimal"/>
      <w:pStyle w:val="23"/>
      <w:lvlText w:val="%1."/>
      <w:lvlJc w:val="left"/>
      <w:pPr>
        <w:tabs>
          <w:tab w:val="left" w:pos="0"/>
        </w:tabs>
        <w:ind w:left="284" w:hanging="284"/>
      </w:pPr>
      <w:rPr>
        <w:rFonts w:hint="default" w:ascii="Arial" w:hAnsi="Arial"/>
        <w:kern w:val="0"/>
        <w:sz w:val="20"/>
      </w:rPr>
    </w:lvl>
    <w:lvl w:ilvl="1" w:tentative="0">
      <w:start w:val="1"/>
      <w:numFmt w:val="decimal"/>
      <w:lvlText w:val="%1.%2."/>
      <w:lvlJc w:val="left"/>
      <w:pPr>
        <w:tabs>
          <w:tab w:val="left" w:pos="992"/>
        </w:tabs>
        <w:ind w:left="992" w:hanging="42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701"/>
        </w:tabs>
        <w:ind w:left="1985" w:hanging="284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268"/>
        </w:tabs>
        <w:ind w:left="2552" w:hanging="284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835"/>
        </w:tabs>
        <w:ind w:left="3119" w:hanging="284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402"/>
        </w:tabs>
        <w:ind w:left="3686" w:hanging="284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969"/>
        </w:tabs>
        <w:ind w:left="4253" w:hanging="284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536"/>
        </w:tabs>
        <w:ind w:left="4820" w:hanging="284"/>
      </w:pPr>
      <w:rPr>
        <w:rFonts w:hint="default"/>
      </w:rPr>
    </w:lvl>
  </w:abstractNum>
  <w:abstractNum w:abstractNumId="1">
    <w:nsid w:val="54BF76D2"/>
    <w:multiLevelType w:val="multilevel"/>
    <w:tmpl w:val="54BF76D2"/>
    <w:lvl w:ilvl="0" w:tentative="0">
      <w:start w:val="1"/>
      <w:numFmt w:val="bullet"/>
      <w:pStyle w:val="19"/>
      <w:lvlText w:val="●"/>
      <w:lvlJc w:val="left"/>
      <w:pPr>
        <w:tabs>
          <w:tab w:val="left" w:pos="0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 w:tentative="0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hint="default" w:ascii="Arial" w:hAnsi="Arial"/>
        <w:color w:val="auto"/>
      </w:rPr>
    </w:lvl>
    <w:lvl w:ilvl="2" w:tentative="0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hint="default" w:ascii="Arial" w:hAnsi="Arial"/>
        <w:color w:val="auto"/>
      </w:rPr>
    </w:lvl>
    <w:lvl w:ilvl="3" w:tentative="0">
      <w:start w:val="1"/>
      <w:numFmt w:val="bullet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 w:tentative="0">
      <w:start w:val="1"/>
      <w:numFmt w:val="bullet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 w:tentative="0">
      <w:start w:val="1"/>
      <w:numFmt w:val="bullet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 w:tentative="0">
      <w:start w:val="1"/>
      <w:numFmt w:val="bullet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 w:tentative="0">
      <w:start w:val="1"/>
      <w:numFmt w:val="bullet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 w:tentative="0">
      <w:start w:val="1"/>
      <w:numFmt w:val="bullet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  <w:rsid w:val="2E695967"/>
    <w:rsid w:val="37920841"/>
    <w:rsid w:val="49176176"/>
    <w:rsid w:val="59102058"/>
    <w:rsid w:val="6A8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qFormat="1" w:unhideWhenUsed="0" w:uiPriority="0" w:semiHidden="0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0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semiHidden/>
    <w:qFormat/>
    <w:uiPriority w:val="0"/>
    <w:pPr>
      <w:spacing w:before="160"/>
      <w:jc w:val="both"/>
    </w:pPr>
    <w:rPr>
      <w:rFonts w:ascii="Arial" w:hAnsi="Arial" w:eastAsia="Calibri" w:cs="Times New Roman"/>
      <w:lang w:val="ru-RU" w:eastAsia="en-US" w:bidi="ar-SA"/>
    </w:rPr>
  </w:style>
  <w:style w:type="paragraph" w:styleId="2">
    <w:name w:val="heading 1"/>
    <w:basedOn w:val="3"/>
    <w:next w:val="3"/>
    <w:link w:val="25"/>
    <w:qFormat/>
    <w:uiPriority w:val="0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4">
    <w:name w:val="heading 2"/>
    <w:basedOn w:val="3"/>
    <w:next w:val="3"/>
    <w:link w:val="26"/>
    <w:qFormat/>
    <w:uiPriority w:val="0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5">
    <w:name w:val="heading 3"/>
    <w:basedOn w:val="3"/>
    <w:next w:val="3"/>
    <w:link w:val="27"/>
    <w:qFormat/>
    <w:uiPriority w:val="0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7">
    <w:name w:val="heading 5"/>
    <w:basedOn w:val="1"/>
    <w:next w:val="1"/>
    <w:link w:val="29"/>
    <w:qFormat/>
    <w:uiPriority w:val="0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8">
    <w:name w:val="heading 6"/>
    <w:basedOn w:val="1"/>
    <w:next w:val="1"/>
    <w:link w:val="30"/>
    <w:qFormat/>
    <w:uiPriority w:val="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9">
    <w:name w:val="heading 7"/>
    <w:basedOn w:val="1"/>
    <w:next w:val="1"/>
    <w:link w:val="38"/>
    <w:semiHidden/>
    <w:qFormat/>
    <w:uiPriority w:val="9"/>
    <w:pPr>
      <w:keepNext/>
      <w:keepLines/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10">
    <w:name w:val="heading 8"/>
    <w:basedOn w:val="1"/>
    <w:next w:val="1"/>
    <w:link w:val="39"/>
    <w:unhideWhenUsed/>
    <w:qFormat/>
    <w:uiPriority w:val="9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11">
    <w:name w:val="heading 9"/>
    <w:basedOn w:val="1"/>
    <w:next w:val="1"/>
    <w:link w:val="40"/>
    <w:unhideWhenUsed/>
    <w:qFormat/>
    <w:uiPriority w:val="9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styleId="14">
    <w:name w:val="Hyperlink"/>
    <w:basedOn w:val="12"/>
    <w:qFormat/>
    <w:uiPriority w:val="0"/>
    <w:rPr>
      <w:rFonts w:eastAsia="Times New Roman"/>
      <w:color w:val="4F81BD"/>
      <w:u w:val="single"/>
      <w:lang w:val="ru-RU" w:eastAsia="ru-RU"/>
    </w:rPr>
  </w:style>
  <w:style w:type="paragraph" w:styleId="15">
    <w:name w:val="Balloon Text"/>
    <w:basedOn w:val="1"/>
    <w:link w:val="47"/>
    <w:semiHidden/>
    <w:unhideWhenUsed/>
    <w:qFormat/>
    <w:uiPriority w:val="99"/>
    <w:pPr>
      <w:spacing w:before="0"/>
    </w:pPr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unhideWhenUsed/>
    <w:qFormat/>
    <w:uiPriority w:val="35"/>
    <w:pPr>
      <w:spacing w:before="120" w:after="120"/>
      <w:jc w:val="right"/>
    </w:pPr>
    <w:rPr>
      <w:bCs/>
      <w:szCs w:val="18"/>
    </w:rPr>
  </w:style>
  <w:style w:type="paragraph" w:styleId="17">
    <w:name w:val="annotation text"/>
    <w:basedOn w:val="1"/>
    <w:link w:val="51"/>
    <w:qFormat/>
    <w:uiPriority w:val="0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paragraph" w:styleId="18">
    <w:name w:val="header"/>
    <w:basedOn w:val="1"/>
    <w:link w:val="45"/>
    <w:unhideWhenUsed/>
    <w:qFormat/>
    <w:uiPriority w:val="9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19">
    <w:name w:val="List Bullet"/>
    <w:basedOn w:val="20"/>
    <w:qFormat/>
    <w:uiPriority w:val="0"/>
    <w:pPr>
      <w:numPr>
        <w:ilvl w:val="0"/>
        <w:numId w:val="1"/>
      </w:numPr>
    </w:pPr>
  </w:style>
  <w:style w:type="paragraph" w:styleId="20">
    <w:name w:val="List Paragraph"/>
    <w:basedOn w:val="1"/>
    <w:qFormat/>
    <w:uiPriority w:val="34"/>
    <w:pPr>
      <w:spacing w:before="60"/>
      <w:ind w:left="709" w:hanging="284"/>
    </w:pPr>
  </w:style>
  <w:style w:type="paragraph" w:styleId="21">
    <w:name w:val="Title"/>
    <w:basedOn w:val="3"/>
    <w:next w:val="1"/>
    <w:link w:val="43"/>
    <w:qFormat/>
    <w:uiPriority w:val="10"/>
    <w:pPr>
      <w:pBdr>
        <w:bottom w:val="single" w:color="1F497D" w:sz="18" w:space="1"/>
      </w:pBdr>
      <w:spacing w:before="0" w:after="360"/>
      <w:jc w:val="left"/>
    </w:pPr>
    <w:rPr>
      <w:color w:val="1F497D"/>
      <w:sz w:val="40"/>
    </w:rPr>
  </w:style>
  <w:style w:type="paragraph" w:styleId="22">
    <w:name w:val="foot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23">
    <w:name w:val="List Number"/>
    <w:basedOn w:val="20"/>
    <w:unhideWhenUsed/>
    <w:qFormat/>
    <w:uiPriority w:val="99"/>
    <w:pPr>
      <w:numPr>
        <w:ilvl w:val="0"/>
        <w:numId w:val="2"/>
      </w:numPr>
      <w:spacing w:before="160"/>
    </w:pPr>
  </w:style>
  <w:style w:type="table" w:styleId="2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5">
    <w:name w:val="Заголовок 1 Знак"/>
    <w:link w:val="2"/>
    <w:qFormat/>
    <w:uiPriority w:val="0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6">
    <w:name w:val="Заголовок 2 Знак"/>
    <w:link w:val="4"/>
    <w:qFormat/>
    <w:uiPriority w:val="0"/>
    <w:rPr>
      <w:rFonts w:eastAsia="Times New Roman"/>
      <w:color w:val="1F497D"/>
      <w:sz w:val="28"/>
      <w:lang w:eastAsia="ru-RU"/>
    </w:rPr>
  </w:style>
  <w:style w:type="character" w:customStyle="1" w:styleId="27">
    <w:name w:val="Заголовок 3 Знак"/>
    <w:link w:val="5"/>
    <w:qFormat/>
    <w:uiPriority w:val="0"/>
    <w:rPr>
      <w:rFonts w:eastAsia="Times New Roman"/>
      <w:color w:val="1F497D"/>
      <w:sz w:val="24"/>
      <w:lang w:eastAsia="ru-RU"/>
    </w:rPr>
  </w:style>
  <w:style w:type="character" w:customStyle="1" w:styleId="28">
    <w:name w:val="Заголовок 4 Знак"/>
    <w:link w:val="6"/>
    <w:qFormat/>
    <w:uiPriority w:val="0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29">
    <w:name w:val="Заголовок 5 Знак"/>
    <w:link w:val="7"/>
    <w:qFormat/>
    <w:uiPriority w:val="0"/>
    <w:rPr>
      <w:rFonts w:eastAsia="Times New Roman"/>
      <w:b/>
      <w:color w:val="1F497D"/>
      <w:kern w:val="20"/>
      <w:lang w:eastAsia="ru-RU"/>
    </w:rPr>
  </w:style>
  <w:style w:type="character" w:customStyle="1" w:styleId="30">
    <w:name w:val="Заголовок 6 Знак"/>
    <w:link w:val="8"/>
    <w:qFormat/>
    <w:uiPriority w:val="0"/>
    <w:rPr>
      <w:rFonts w:eastAsia="Times New Roman"/>
      <w:kern w:val="20"/>
      <w:lang w:eastAsia="ru-RU"/>
    </w:rPr>
  </w:style>
  <w:style w:type="paragraph" w:customStyle="1" w:styleId="31">
    <w:name w:val="Кнопка"/>
    <w:basedOn w:val="3"/>
    <w:next w:val="3"/>
    <w:link w:val="37"/>
    <w:qFormat/>
    <w:uiPriority w:val="0"/>
    <w:pPr>
      <w:spacing w:before="0"/>
    </w:pPr>
    <w:rPr>
      <w:b/>
      <w:u w:val="single"/>
    </w:rPr>
  </w:style>
  <w:style w:type="character" w:customStyle="1" w:styleId="32">
    <w:name w:val="Основной текст Знак"/>
    <w:link w:val="3"/>
    <w:qFormat/>
    <w:uiPriority w:val="0"/>
    <w:rPr>
      <w:rFonts w:eastAsia="Times New Roman"/>
      <w:lang w:eastAsia="ru-RU"/>
    </w:rPr>
  </w:style>
  <w:style w:type="paragraph" w:customStyle="1" w:styleId="33">
    <w:name w:val="Название справочника"/>
    <w:basedOn w:val="3"/>
    <w:next w:val="3"/>
    <w:link w:val="48"/>
    <w:qFormat/>
    <w:uiPriority w:val="0"/>
    <w:pPr>
      <w:spacing w:before="0"/>
    </w:pPr>
    <w:rPr>
      <w:b/>
    </w:rPr>
  </w:style>
  <w:style w:type="paragraph" w:customStyle="1" w:styleId="34">
    <w:name w:val="Название поля/пункт меню"/>
    <w:basedOn w:val="3"/>
    <w:link w:val="50"/>
    <w:qFormat/>
    <w:uiPriority w:val="0"/>
    <w:pPr>
      <w:spacing w:before="0"/>
    </w:pPr>
    <w:rPr>
      <w:i/>
    </w:rPr>
  </w:style>
  <w:style w:type="character" w:customStyle="1" w:styleId="35">
    <w:name w:val="Определение"/>
    <w:qFormat/>
    <w:uiPriority w:val="0"/>
    <w:rPr>
      <w:rFonts w:eastAsia="Times New Roman"/>
      <w:i/>
      <w:color w:val="1F497D"/>
      <w:u w:val="none"/>
      <w:lang w:val="ru-RU" w:eastAsia="ru-RU"/>
    </w:rPr>
  </w:style>
  <w:style w:type="character" w:customStyle="1" w:styleId="36">
    <w:name w:val="Участник процесса"/>
    <w:qFormat/>
    <w:uiPriority w:val="0"/>
    <w:rPr>
      <w:rFonts w:ascii="Arial" w:hAnsi="Arial" w:eastAsia="Times New Roman"/>
      <w:b/>
      <w:i/>
      <w:sz w:val="20"/>
      <w:lang w:val="ru-RU" w:eastAsia="ru-RU"/>
    </w:rPr>
  </w:style>
  <w:style w:type="character" w:customStyle="1" w:styleId="37">
    <w:name w:val="Кнопка Знак"/>
    <w:link w:val="31"/>
    <w:qFormat/>
    <w:uiPriority w:val="0"/>
    <w:rPr>
      <w:rFonts w:eastAsia="Times New Roman"/>
      <w:b/>
      <w:u w:val="single"/>
      <w:lang w:eastAsia="ru-RU"/>
    </w:rPr>
  </w:style>
  <w:style w:type="character" w:customStyle="1" w:styleId="38">
    <w:name w:val="Заголовок 7 Знак"/>
    <w:link w:val="9"/>
    <w:semiHidden/>
    <w:qFormat/>
    <w:uiPriority w:val="9"/>
    <w:rPr>
      <w:rFonts w:ascii="Cambria" w:hAnsi="Cambria" w:eastAsia="Times New Roman" w:cs="Times New Roman"/>
      <w:i/>
      <w:iCs/>
      <w:color w:val="404040"/>
    </w:rPr>
  </w:style>
  <w:style w:type="character" w:customStyle="1" w:styleId="39">
    <w:name w:val="Заголовок 8 Знак"/>
    <w:link w:val="10"/>
    <w:qFormat/>
    <w:uiPriority w:val="9"/>
    <w:rPr>
      <w:rFonts w:eastAsia="Times New Roman" w:cs="Times New Roman"/>
      <w:color w:val="404040"/>
    </w:rPr>
  </w:style>
  <w:style w:type="character" w:customStyle="1" w:styleId="40">
    <w:name w:val="Заголовок 9 Знак"/>
    <w:link w:val="11"/>
    <w:qFormat/>
    <w:uiPriority w:val="9"/>
    <w:rPr>
      <w:rFonts w:eastAsia="Times New Roman" w:cs="Times New Roman"/>
      <w:iCs/>
      <w:color w:val="404040"/>
    </w:rPr>
  </w:style>
  <w:style w:type="paragraph" w:customStyle="1" w:styleId="41">
    <w:name w:val="Пример кода"/>
    <w:basedOn w:val="3"/>
    <w:qFormat/>
    <w:uiPriority w:val="0"/>
    <w:pPr>
      <w:shd w:val="clear" w:color="auto" w:fill="F2F2F2"/>
      <w:spacing w:before="0"/>
    </w:pPr>
    <w:rPr>
      <w:rFonts w:ascii="Consolas" w:hAnsi="Consolas"/>
    </w:rPr>
  </w:style>
  <w:style w:type="paragraph" w:customStyle="1" w:styleId="42">
    <w:name w:val="Примечание"/>
    <w:basedOn w:val="3"/>
    <w:qFormat/>
    <w:uiPriority w:val="0"/>
    <w:pPr>
      <w:keepNext/>
      <w:keepLines/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</w:pPr>
  </w:style>
  <w:style w:type="character" w:customStyle="1" w:styleId="43">
    <w:name w:val="Название Знак"/>
    <w:link w:val="21"/>
    <w:qFormat/>
    <w:uiPriority w:val="10"/>
    <w:rPr>
      <w:rFonts w:eastAsia="Times New Roman"/>
      <w:color w:val="1F497D"/>
      <w:sz w:val="40"/>
      <w:lang w:eastAsia="ru-RU"/>
    </w:rPr>
  </w:style>
  <w:style w:type="table" w:customStyle="1" w:styleId="44">
    <w:name w:val="Таблица НПО"/>
    <w:basedOn w:val="13"/>
    <w:qFormat/>
    <w:uiPriority w:val="99"/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ind w:left="0" w:leftChars="0" w:firstLine="0" w:firstLineChars="0"/>
        <w:contextualSpacing w:val="0"/>
        <w:jc w:val="center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dxa"/>
          <w:bottom w:w="113" w:type="dxa"/>
          <w:right w:w="0" w:type="dxa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cPr>
        <w:shd w:val="clear" w:color="auto" w:fill="F2F2F2"/>
      </w:tcPr>
    </w:tblStylePr>
  </w:style>
  <w:style w:type="character" w:customStyle="1" w:styleId="45">
    <w:name w:val="Верхний колонтитул Знак"/>
    <w:link w:val="18"/>
    <w:qFormat/>
    <w:uiPriority w:val="99"/>
    <w:rPr>
      <w:rFonts w:eastAsia="Calibri"/>
      <w:color w:val="404040"/>
      <w:sz w:val="18"/>
    </w:rPr>
  </w:style>
  <w:style w:type="character" w:customStyle="1" w:styleId="46">
    <w:name w:val="Нижний колонтитул Знак"/>
    <w:link w:val="22"/>
    <w:qFormat/>
    <w:uiPriority w:val="99"/>
    <w:rPr>
      <w:rFonts w:eastAsia="Calibri"/>
      <w:color w:val="404040"/>
      <w:sz w:val="18"/>
    </w:rPr>
  </w:style>
  <w:style w:type="character" w:customStyle="1" w:styleId="47">
    <w:name w:val="Текст выноски Знак"/>
    <w:link w:val="1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8">
    <w:name w:val="Название справочника Знак"/>
    <w:link w:val="33"/>
    <w:qFormat/>
    <w:uiPriority w:val="0"/>
    <w:rPr>
      <w:rFonts w:eastAsia="Times New Roman"/>
      <w:b/>
      <w:lang w:eastAsia="ru-RU"/>
    </w:rPr>
  </w:style>
  <w:style w:type="character" w:customStyle="1" w:styleId="49">
    <w:name w:val="Пояснение к заполнению"/>
    <w:qFormat/>
    <w:uiPriority w:val="1"/>
    <w:rPr>
      <w:rFonts w:ascii="Arial" w:hAnsi="Arial"/>
      <w:i/>
      <w:color w:val="C0504D"/>
      <w:sz w:val="20"/>
    </w:rPr>
  </w:style>
  <w:style w:type="character" w:customStyle="1" w:styleId="50">
    <w:name w:val="Название поля/пункт меню Знак"/>
    <w:link w:val="34"/>
    <w:qFormat/>
    <w:uiPriority w:val="0"/>
    <w:rPr>
      <w:rFonts w:eastAsia="Times New Roman"/>
      <w:i/>
      <w:lang w:eastAsia="ru-RU"/>
    </w:rPr>
  </w:style>
  <w:style w:type="character" w:customStyle="1" w:styleId="51">
    <w:name w:val="Текст примечания Знак"/>
    <w:link w:val="17"/>
    <w:qFormat/>
    <w:uiPriority w:val="0"/>
    <w:rPr>
      <w:rFonts w:eastAsia="Times New Roman"/>
      <w:lang w:eastAsia="ru-RU"/>
    </w:rPr>
  </w:style>
  <w:style w:type="paragraph" w:customStyle="1" w:styleId="52">
    <w:name w:val="Текст таблицы"/>
    <w:basedOn w:val="3"/>
    <w:qFormat/>
    <w:uiPriority w:val="0"/>
    <w:pPr>
      <w:spacing w:before="0"/>
    </w:pPr>
  </w:style>
  <w:style w:type="character" w:styleId="53">
    <w:name w:val="Placeholder Text"/>
    <w:basedOn w:val="12"/>
    <w:semiHidden/>
    <w:qFormat/>
    <w:uiPriority w:val="99"/>
    <w:rPr>
      <w:color w:val="808080"/>
    </w:rPr>
  </w:style>
  <w:style w:type="paragraph" w:customStyle="1" w:styleId="54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CE4F-1119-4513-917B-843F60E5B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NPO</Company>
  <Pages>1</Pages>
  <Words>17</Words>
  <Characters>99</Characters>
  <Lines>1</Lines>
  <Paragraphs>1</Paragraphs>
  <TotalTime>10</TotalTime>
  <ScaleCrop>false</ScaleCrop>
  <LinksUpToDate>false</LinksUpToDate>
  <CharactersWithSpaces>115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2016-03-24T04:44:00Z</dcterms:created>
  <dc:creator>Дмитриев Иван (Dmitriev_IA)</dc:creator>
  <cp:lastModifiedBy>counsel_1</cp:lastModifiedBy>
  <dcterms:modified xsi:type="dcterms:W3CDTF">2024-08-07T22:45:16Z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ezU4YjllZDM1LTljODQtNDZjZC1hYTc5LTliNWVmNWE4MmY1ZDphYWUxZjZhZS1kMDkwLTRjNWEtOTYzZS00NGM4Yjc5ZGM5MmJ9LT57OTZjNGY0ZjMtZGM3NC00OTdhLWIzNDctZThmYWY0YWZlMzIwOjkxYWMwZTQ5LTEwZmMtNDVhMi04NDhhLTA1NDFlN2ZkZDdjZH0=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ezU4YjllZDM1LTljODQtNDZjZC1hYTc5LTliNWVmNWE4MmY1ZDphYWUxZjZhZS1kMDkwLTRjNWEtOTYzZS00NGM4Yjc5ZGM5MmJ9LT57OTZjNGY0ZjMtZGM3NC00OTdhLWIzNDctZThmYWY0YWZlMzIwOjI2M2NmMDY4LWUyMjQtNGE4My05ZGYwLTE5OGU4MjgxMDFkMX0=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ezU4YjllZDM1LTljODQtNDZjZC1hYTc5LTliNWVmNWE4MmY1ZDphYWUxZjZhZS1kMDkwLTRjNWEtOTYzZS00NGM4Yjc5ZGM5MmJ9LT57OTZjNGY0ZjMtZGM3NC00OTdhLWIzNDctZThmYWY0YWZlMzIwOmY2Zjg5NzUwLTM2NjAtNDU3MC1iOTBiLWMwYTU1YTdlNDY2OX0=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  <property fmtid="{D5CDD505-2E9C-101B-9397-08002B2CF9AE}" pid="8" name="KSOProductBuildVer">
    <vt:lpwstr>1049-12.2.0.13359</vt:lpwstr>
  </property>
  <property fmtid="{D5CDD505-2E9C-101B-9397-08002B2CF9AE}" pid="9" name="ICV">
    <vt:lpwstr>3EA1C8F6835547B5BB337B60A7FA46D7_12</vt:lpwstr>
  </property>
</Properties>
</file>